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34651B13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proofErr w:type="spellStart"/>
      <w:r w:rsidR="00BA7FE2">
        <w:rPr>
          <w:rFonts w:cs="Arial"/>
          <w:b/>
          <w:bCs/>
          <w:szCs w:val="22"/>
          <w:lang w:eastAsia="en-US"/>
        </w:rPr>
        <w:t>Atlanteco</w:t>
      </w:r>
      <w:proofErr w:type="spellEnd"/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4E8CB5AF" w:rsidR="00BA303A" w:rsidRPr="00BA7FE2" w:rsidRDefault="00BA7FE2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26</w:t>
      </w:r>
      <w:r w:rsidR="00F64909" w:rsidRPr="00BA7FE2">
        <w:rPr>
          <w:rFonts w:cs="Arial"/>
          <w:b/>
          <w:bCs/>
          <w:szCs w:val="22"/>
          <w:lang w:val="fr-FR" w:eastAsia="en-US"/>
        </w:rPr>
        <w:t>/02/2025</w:t>
      </w:r>
      <w:r w:rsidR="00BA303A" w:rsidRPr="00BA7FE2">
        <w:rPr>
          <w:rFonts w:cs="Arial"/>
          <w:b/>
          <w:bCs/>
          <w:szCs w:val="22"/>
          <w:lang w:val="fr-FR" w:eastAsia="en-US"/>
        </w:rPr>
        <w:t>.</w:t>
      </w:r>
    </w:p>
    <w:p w14:paraId="62287F4C" w14:textId="322FECF4" w:rsidR="00C1782E" w:rsidRPr="00BA7FE2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BA7FE2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BA7FE2">
        <w:rPr>
          <w:rFonts w:cs="Arial"/>
          <w:b/>
          <w:bCs/>
          <w:szCs w:val="22"/>
          <w:lang w:val="fr-FR" w:eastAsia="en-US"/>
        </w:rPr>
        <w:t xml:space="preserve"> </w:t>
      </w:r>
      <w:r w:rsidR="009827E7" w:rsidRPr="00BA7FE2">
        <w:rPr>
          <w:rFonts w:cs="Arial"/>
          <w:b/>
          <w:bCs/>
          <w:szCs w:val="22"/>
          <w:lang w:val="fr-FR" w:eastAsia="en-US"/>
        </w:rPr>
        <w:t>10.17031/</w:t>
      </w:r>
      <w:r w:rsidR="00AC35FB" w:rsidRPr="00AC35FB">
        <w:rPr>
          <w:rFonts w:cs="Arial"/>
          <w:b/>
          <w:bCs/>
          <w:szCs w:val="22"/>
          <w:lang w:eastAsia="en-US"/>
        </w:rPr>
        <w:t>67bf1de810d1f</w:t>
      </w:r>
    </w:p>
    <w:p w14:paraId="5EAC5C9E" w14:textId="6A7210C6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CC4A6B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="00CC4A6B" w:rsidRPr="00CC4A6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AC35FB">
        <w:rPr>
          <w:rFonts w:cs="Arial"/>
          <w:b/>
          <w:bCs/>
          <w:szCs w:val="22"/>
          <w:lang w:val="fr-FR" w:eastAsia="en-US"/>
        </w:rPr>
        <w:t>3438/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565A23D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BA7FE2">
        <w:rPr>
          <w:rFonts w:cs="Arial"/>
          <w:b/>
          <w:bCs/>
          <w:szCs w:val="22"/>
          <w:lang w:eastAsia="en-US"/>
        </w:rPr>
        <w:t>9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5ABAB4BA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37395B">
        <w:rPr>
          <w:rFonts w:cs="Arial"/>
        </w:rPr>
        <w:t>_Atlanteco_</w:t>
      </w:r>
      <w:r w:rsidR="00BA7FE2">
        <w:rPr>
          <w:rFonts w:cs="Arial"/>
        </w:rPr>
        <w:t>26022025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66AD7639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="0011272E" w:rsidRPr="0011272E">
        <w:rPr>
          <w:rFonts w:cs="Arial"/>
        </w:rPr>
        <w:t>ControlMap</w:t>
      </w:r>
      <w:r w:rsidR="00BC68E7">
        <w:rPr>
          <w:rFonts w:cs="Arial"/>
        </w:rPr>
        <w:t>_</w:t>
      </w:r>
      <w:r w:rsidR="00BA7FE2">
        <w:rPr>
          <w:rFonts w:cs="Arial"/>
        </w:rPr>
        <w:t>26022025</w:t>
      </w:r>
      <w:r w:rsidRPr="000A0F2E">
        <w:rPr>
          <w:rFonts w:cs="Arial"/>
        </w:rPr>
        <w:t xml:space="preserve">.png”: </w:t>
      </w:r>
    </w:p>
    <w:p w14:paraId="036D8F37" w14:textId="0AA21B48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BA7FE2">
        <w:rPr>
          <w:rFonts w:cs="Arial"/>
        </w:rPr>
        <w:t>93</w:t>
      </w:r>
      <w:r w:rsidR="0011272E">
        <w:rPr>
          <w:rFonts w:cs="Arial"/>
        </w:rPr>
        <w:t xml:space="preserve"> to December 2021 (</w:t>
      </w:r>
      <w:r w:rsidR="00BA7FE2">
        <w:rPr>
          <w:rFonts w:cs="Arial"/>
        </w:rPr>
        <w:t>123569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6FBC27A2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="00BC68E7" w:rsidRPr="00BC68E7">
        <w:rPr>
          <w:rFonts w:cs="Arial"/>
        </w:rPr>
        <w:t>Data_LargeZooplankton_</w:t>
      </w:r>
      <w:r w:rsidR="00BA7FE2">
        <w:rPr>
          <w:rFonts w:cs="Arial"/>
        </w:rPr>
        <w:t>26022025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BA7FE2">
        <w:rPr>
          <w:rFonts w:cs="Arial"/>
        </w:rPr>
        <w:t>1</w:t>
      </w:r>
      <w:r w:rsidR="00B72E22">
        <w:rPr>
          <w:rFonts w:cs="Arial"/>
        </w:rPr>
        <w:t>14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="00BC68E7" w:rsidRPr="00BC68E7">
        <w:rPr>
          <w:rFonts w:cs="Arial"/>
        </w:rPr>
        <w:t>List_LargeZooplankton_</w:t>
      </w:r>
      <w:r w:rsidR="00BA7FE2">
        <w:rPr>
          <w:rFonts w:cs="Arial"/>
        </w:rPr>
        <w:t>26022025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BA7FE2">
        <w:rPr>
          <w:rFonts w:cs="Arial"/>
        </w:rPr>
        <w:t>10</w:t>
      </w:r>
      <w:r w:rsidR="008E5C4F">
        <w:rPr>
          <w:rFonts w:cs="Arial"/>
        </w:rPr>
        <w:t xml:space="preserve">°N to </w:t>
      </w:r>
      <w:r w:rsidR="00BA7FE2">
        <w:rPr>
          <w:rFonts w:cs="Arial"/>
        </w:rPr>
        <w:t>9</w:t>
      </w:r>
      <w:r w:rsidR="008E5C4F">
        <w:rPr>
          <w:rFonts w:cs="Arial"/>
        </w:rPr>
        <w:t>0°N, -</w:t>
      </w:r>
      <w:r w:rsidR="00BA7FE2">
        <w:rPr>
          <w:rFonts w:cs="Arial"/>
        </w:rPr>
        <w:t>10</w:t>
      </w:r>
      <w:r w:rsidR="008E5C4F">
        <w:rPr>
          <w:rFonts w:cs="Arial"/>
        </w:rPr>
        <w:t>0°E to 20°E).</w:t>
      </w:r>
    </w:p>
    <w:p w14:paraId="1CA29C22" w14:textId="1D3ABFF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BA7FE2">
        <w:rPr>
          <w:rFonts w:cs="Arial"/>
        </w:rPr>
        <w:t>123569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F17B93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B72E22">
        <w:rPr>
          <w:rFonts w:cs="Arial"/>
        </w:rPr>
        <w:t>6</w:t>
      </w:r>
      <w:r>
        <w:rPr>
          <w:rFonts w:cs="Arial"/>
        </w:rPr>
        <w:t>: Spatio-temporal coordinates for each sample.</w:t>
      </w:r>
      <w:r w:rsidR="00B72E22">
        <w:rPr>
          <w:rFonts w:cs="Arial"/>
        </w:rPr>
        <w:t xml:space="preserve"> The column “midpoint” corresponds to the spatio coordinates of the middle of each CRP sample (as DD/MM/YYYY </w:t>
      </w:r>
      <w:proofErr w:type="spellStart"/>
      <w:r w:rsidR="00B72E22">
        <w:rPr>
          <w:rFonts w:cs="Arial"/>
        </w:rPr>
        <w:t>hh:mm</w:t>
      </w:r>
      <w:proofErr w:type="spellEnd"/>
      <w:r w:rsidR="00B72E22">
        <w:rPr>
          <w:rFonts w:cs="Arial"/>
        </w:rPr>
        <w:t>).</w:t>
      </w:r>
    </w:p>
    <w:p w14:paraId="14833D95" w14:textId="0AD6ED2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B72E22">
        <w:rPr>
          <w:rFonts w:cs="Arial"/>
        </w:rPr>
        <w:t>7</w:t>
      </w:r>
      <w:r>
        <w:rPr>
          <w:rFonts w:cs="Arial"/>
        </w:rPr>
        <w:t xml:space="preserve"> to 1</w:t>
      </w:r>
      <w:r w:rsidR="00B72E22">
        <w:rPr>
          <w:rFonts w:cs="Arial"/>
        </w:rPr>
        <w:t>20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BA7FE2">
        <w:rPr>
          <w:rFonts w:cs="Arial"/>
        </w:rPr>
        <w:t>1</w:t>
      </w:r>
      <w:r w:rsidR="00B72E22">
        <w:rPr>
          <w:rFonts w:cs="Arial"/>
        </w:rPr>
        <w:t>14</w:t>
      </w:r>
      <w:r w:rsidRPr="007E552B">
        <w:rPr>
          <w:rFonts w:cs="Arial"/>
        </w:rPr>
        <w:t xml:space="preserve"> taxa).</w:t>
      </w:r>
    </w:p>
    <w:p w14:paraId="714BEE3A" w14:textId="77777777" w:rsidR="00CB1286" w:rsidRDefault="00CB1286" w:rsidP="00BC68E7">
      <w:pPr>
        <w:pStyle w:val="ListParagraph"/>
        <w:rPr>
          <w:rFonts w:cs="Arial"/>
        </w:rPr>
      </w:pPr>
    </w:p>
    <w:p w14:paraId="3FF155D6" w14:textId="5958AE02" w:rsidR="00CB1286" w:rsidRDefault="00CB1286" w:rsidP="00BC68E7">
      <w:pPr>
        <w:pStyle w:val="ListParagraph"/>
        <w:rPr>
          <w:rFonts w:cs="Arial"/>
        </w:rPr>
      </w:pPr>
      <w:r w:rsidRPr="00D459D1">
        <w:rPr>
          <w:rFonts w:cs="Arial"/>
          <w:u w:val="single"/>
        </w:rPr>
        <w:t>Note 1:</w:t>
      </w:r>
      <w:r>
        <w:rPr>
          <w:rFonts w:cs="Arial"/>
        </w:rPr>
        <w:t xml:space="preserve"> You can notice that the number of taxa in “large zooplankton” is different from the previous extract (114 instead of </w:t>
      </w:r>
      <w:r w:rsidR="00D459D1">
        <w:rPr>
          <w:rFonts w:cs="Arial"/>
        </w:rPr>
        <w:t>140</w:t>
      </w:r>
      <w:r>
        <w:rPr>
          <w:rFonts w:cs="Arial"/>
        </w:rPr>
        <w:t xml:space="preserve">). Since the last data extract (in </w:t>
      </w:r>
      <w:r w:rsidR="00D459D1">
        <w:rPr>
          <w:rFonts w:cs="Arial"/>
        </w:rPr>
        <w:t>November</w:t>
      </w:r>
      <w:r>
        <w:rPr>
          <w:rFonts w:cs="Arial"/>
        </w:rPr>
        <w:t xml:space="preserve"> 202</w:t>
      </w:r>
      <w:r w:rsidR="00D459D1">
        <w:rPr>
          <w:rFonts w:cs="Arial"/>
        </w:rPr>
        <w:t>3), the data extracting system was updated and now automatically removed taxa never found in the selected area.</w:t>
      </w:r>
      <w:r w:rsidR="006768F0">
        <w:rPr>
          <w:rFonts w:cs="Arial"/>
        </w:rPr>
        <w:t xml:space="preserve"> This is also changing the number of selected taxa in “small zooplankton” (60 instead of </w:t>
      </w:r>
      <w:r w:rsidR="001A3B3D">
        <w:rPr>
          <w:rFonts w:cs="Arial"/>
        </w:rPr>
        <w:t>63</w:t>
      </w:r>
      <w:r w:rsidR="006768F0">
        <w:rPr>
          <w:rFonts w:cs="Arial"/>
        </w:rPr>
        <w:t>), as well as in “phytoplankton” (</w:t>
      </w:r>
      <w:r w:rsidR="00DB6C9B">
        <w:rPr>
          <w:rFonts w:cs="Arial"/>
        </w:rPr>
        <w:t>147</w:t>
      </w:r>
      <w:r w:rsidR="006768F0">
        <w:rPr>
          <w:rFonts w:cs="Arial"/>
        </w:rPr>
        <w:t xml:space="preserve"> instead </w:t>
      </w:r>
      <w:r w:rsidR="001A3B3D">
        <w:rPr>
          <w:rFonts w:cs="Arial"/>
        </w:rPr>
        <w:t>of 156</w:t>
      </w:r>
      <w:r w:rsidR="006768F0">
        <w:rPr>
          <w:rFonts w:cs="Arial"/>
        </w:rPr>
        <w:t>)</w:t>
      </w:r>
      <w:r w:rsidR="001A3B3D">
        <w:rPr>
          <w:rFonts w:cs="Arial"/>
        </w:rPr>
        <w:t>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271CE43D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D459D1">
        <w:rPr>
          <w:rFonts w:cs="Arial"/>
          <w:u w:val="single"/>
        </w:rPr>
        <w:t>2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39B836B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D459D1">
        <w:rPr>
          <w:rFonts w:cs="Arial"/>
          <w:u w:val="single"/>
        </w:rPr>
        <w:t>3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  <w:r w:rsidR="000F5F5A">
        <w:rPr>
          <w:rFonts w:cs="Arial"/>
        </w:rPr>
        <w:t>DRI is defined below, see Column 5 in 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="000F5F5A" w:rsidRPr="00BC68E7">
        <w:rPr>
          <w:rFonts w:cs="Arial"/>
        </w:rPr>
        <w:t>List_LargeZooplankton_</w:t>
      </w:r>
      <w:r w:rsidR="000F5F5A">
        <w:rPr>
          <w:rFonts w:cs="Arial"/>
        </w:rPr>
        <w:t>26022025.csv”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06DBAA5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List_LargeZooplankton_</w:t>
      </w:r>
      <w:r w:rsidR="00BA7FE2">
        <w:rPr>
          <w:rFonts w:cs="Arial"/>
        </w:rPr>
        <w:t>26022025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4EEF2675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BA7FE2">
        <w:rPr>
          <w:rFonts w:cs="Arial"/>
        </w:rPr>
        <w:t>1</w:t>
      </w:r>
      <w:r w:rsidR="000F5F5A">
        <w:rPr>
          <w:rFonts w:cs="Arial"/>
        </w:rPr>
        <w:t>14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1DDEEC72" w14:textId="0EF74202" w:rsidR="00E55D40" w:rsidRPr="00E55D40" w:rsidRDefault="00E55D40" w:rsidP="00E55D40">
      <w:pPr>
        <w:pStyle w:val="ListParagraph"/>
        <w:rPr>
          <w:rFonts w:cs="Arial"/>
        </w:rPr>
      </w:pPr>
      <w:r>
        <w:rPr>
          <w:rFonts w:cs="Arial"/>
        </w:rPr>
        <w:lastRenderedPageBreak/>
        <w:t xml:space="preserve">Column 5 "DRI: </w:t>
      </w:r>
      <w:r w:rsidRPr="003B648B">
        <w:rPr>
          <w:rFonts w:cs="Arial"/>
        </w:rPr>
        <w:t>Date of Routine Identification. Before that date, un taxon was not on our routine taxa list. For a given taxon, abundances associated with samples taken before the DRI are set to a NaN (Not A Number).</w:t>
      </w:r>
    </w:p>
    <w:p w14:paraId="18560199" w14:textId="77777777" w:rsidR="00E55D40" w:rsidRPr="00F30900" w:rsidRDefault="00E55D40" w:rsidP="00E55D4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6 to 31: Taxonomic information for each taxa.</w:t>
      </w:r>
    </w:p>
    <w:p w14:paraId="463922B2" w14:textId="77777777" w:rsidR="00F30900" w:rsidRPr="00585F26" w:rsidRDefault="00F30900" w:rsidP="00585F26">
      <w:pPr>
        <w:rPr>
          <w:rFonts w:cs="Arial"/>
        </w:rPr>
      </w:pPr>
    </w:p>
    <w:p w14:paraId="6CB60AB2" w14:textId="1B7EF110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4359A0">
        <w:rPr>
          <w:rFonts w:cs="Arial"/>
        </w:rPr>
        <w:t>Data_SmallZooplankton_</w:t>
      </w:r>
      <w:r w:rsidR="00BA7FE2">
        <w:rPr>
          <w:rFonts w:cs="Arial"/>
        </w:rPr>
        <w:t>26022025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Zooplankton_</w:t>
      </w:r>
      <w:r w:rsidR="00BA7FE2">
        <w:rPr>
          <w:rFonts w:cs="Arial"/>
        </w:rPr>
        <w:t>26022025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6768F0">
        <w:rPr>
          <w:rFonts w:cs="Arial"/>
        </w:rPr>
        <w:t>60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BA7FE2">
        <w:rPr>
          <w:rFonts w:cs="Arial"/>
        </w:rPr>
        <w:t>123569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4A9D39A8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Data_LargeZooplankton_</w:t>
      </w:r>
      <w:r w:rsidR="00BA7FE2">
        <w:rPr>
          <w:rFonts w:cs="Arial"/>
        </w:rPr>
        <w:t>26022025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4FB085EB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7D6432">
        <w:rPr>
          <w:rFonts w:cs="Arial"/>
        </w:rPr>
        <w:t>List_SmallZooplankton_</w:t>
      </w:r>
      <w:r w:rsidR="00BA7FE2">
        <w:rPr>
          <w:rFonts w:cs="Arial"/>
        </w:rPr>
        <w:t>26022025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6768F0">
        <w:rPr>
          <w:rFonts w:cs="Arial"/>
        </w:rPr>
        <w:t>60</w:t>
      </w:r>
      <w:r>
        <w:rPr>
          <w:rFonts w:cs="Arial"/>
        </w:rPr>
        <w:t xml:space="preserve"> taxa).</w:t>
      </w:r>
    </w:p>
    <w:p w14:paraId="12280528" w14:textId="04C7EA9E" w:rsidR="0011272E" w:rsidRDefault="007D6432" w:rsidP="00585F26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>
        <w:rPr>
          <w:rFonts w:cs="Arial"/>
        </w:rPr>
        <w:t>List</w:t>
      </w:r>
      <w:r w:rsidRPr="00BC68E7">
        <w:rPr>
          <w:rFonts w:cs="Arial"/>
        </w:rPr>
        <w:t>_LargeZooplankton_</w:t>
      </w:r>
      <w:r w:rsidR="00BA7FE2">
        <w:rPr>
          <w:rFonts w:cs="Arial"/>
        </w:rPr>
        <w:t>26022025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669B63" w14:textId="77777777" w:rsidR="00DB6C9B" w:rsidRDefault="00DB6C9B" w:rsidP="00585F26">
      <w:pPr>
        <w:pStyle w:val="ListParagraph"/>
        <w:rPr>
          <w:rFonts w:cs="Arial"/>
        </w:rPr>
      </w:pPr>
    </w:p>
    <w:p w14:paraId="0E5E5E7B" w14:textId="7943FE36" w:rsidR="00DB6C9B" w:rsidRPr="007D6432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>
        <w:rPr>
          <w:rFonts w:cs="Arial"/>
        </w:rPr>
        <w:t>Data</w:t>
      </w:r>
      <w:r w:rsidRPr="00DB6C9B">
        <w:rPr>
          <w:rFonts w:cs="Arial"/>
        </w:rPr>
        <w:t>_Phytoplankton_26022025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Pr="00BC68E7">
        <w:rPr>
          <w:rFonts w:cs="Arial"/>
        </w:rPr>
        <w:t>_</w:t>
      </w:r>
      <w:r>
        <w:rPr>
          <w:rFonts w:cs="Arial"/>
        </w:rPr>
        <w:t>26022025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(147 taxa, 123569 samples).</w:t>
      </w:r>
    </w:p>
    <w:p w14:paraId="555B5F03" w14:textId="7DE8D5E1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Data_LargeZooplankton_</w:t>
      </w:r>
      <w:r>
        <w:rPr>
          <w:rFonts w:cs="Arial"/>
        </w:rPr>
        <w:t>26022025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013A06D7" w14:textId="77777777" w:rsidR="00DB6C9B" w:rsidRDefault="00DB6C9B" w:rsidP="00DB6C9B">
      <w:pPr>
        <w:pStyle w:val="ListParagraph"/>
        <w:rPr>
          <w:rFonts w:cs="Arial"/>
        </w:rPr>
      </w:pPr>
    </w:p>
    <w:p w14:paraId="1A915536" w14:textId="13B4A622" w:rsidR="00DB6C9B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Pr="00BC68E7">
        <w:rPr>
          <w:rFonts w:cs="Arial"/>
        </w:rPr>
        <w:t>_</w:t>
      </w:r>
      <w:r>
        <w:rPr>
          <w:rFonts w:cs="Arial"/>
        </w:rPr>
        <w:t xml:space="preserve">26022025.csv”: </w:t>
      </w:r>
      <w:r w:rsidRPr="003B648B">
        <w:rPr>
          <w:rFonts w:cs="Arial"/>
        </w:rPr>
        <w:t xml:space="preserve">List </w:t>
      </w:r>
      <w:r>
        <w:rPr>
          <w:rFonts w:cs="Arial"/>
        </w:rPr>
        <w:t>phytoplankton (147 taxa).</w:t>
      </w:r>
    </w:p>
    <w:p w14:paraId="547EB5C2" w14:textId="49F81FD9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>
        <w:rPr>
          <w:rFonts w:cs="Arial"/>
        </w:rPr>
        <w:t>List</w:t>
      </w:r>
      <w:r w:rsidRPr="00BC68E7">
        <w:rPr>
          <w:rFonts w:cs="Arial"/>
        </w:rPr>
        <w:t>_</w:t>
      </w:r>
      <w:r w:rsidRPr="00DB6C9B">
        <w:rPr>
          <w:rFonts w:cs="Arial"/>
        </w:rPr>
        <w:t>Phytoplankton</w:t>
      </w:r>
      <w:r w:rsidRPr="00BC68E7">
        <w:rPr>
          <w:rFonts w:cs="Arial"/>
        </w:rPr>
        <w:t>_</w:t>
      </w:r>
      <w:r>
        <w:rPr>
          <w:rFonts w:cs="Arial"/>
        </w:rPr>
        <w:t>26022025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0A8D9C2C" w14:textId="77777777" w:rsidR="00DB6C9B" w:rsidRDefault="00DB6C9B" w:rsidP="00DB6C9B">
      <w:pPr>
        <w:pStyle w:val="ListParagraph"/>
        <w:rPr>
          <w:rFonts w:cs="Arial"/>
        </w:rPr>
      </w:pPr>
    </w:p>
    <w:p w14:paraId="79B4A168" w14:textId="17D3917B" w:rsidR="00C87353" w:rsidRDefault="00C87353" w:rsidP="00C87353">
      <w:pPr>
        <w:pStyle w:val="ListParagraph"/>
        <w:numPr>
          <w:ilvl w:val="0"/>
          <w:numId w:val="1"/>
        </w:numPr>
        <w:rPr>
          <w:rFonts w:cs="Arial"/>
        </w:rPr>
      </w:pPr>
      <w:r w:rsidRPr="0012454B">
        <w:rPr>
          <w:rFonts w:cs="Arial"/>
        </w:rPr>
        <w:t>“CPR</w:t>
      </w:r>
      <w:r w:rsidR="0037395B">
        <w:rPr>
          <w:rFonts w:cs="Arial"/>
        </w:rPr>
        <w:t>_Atlanteco_</w:t>
      </w:r>
      <w:r w:rsidRPr="0012454B">
        <w:rPr>
          <w:rFonts w:cs="Arial"/>
        </w:rPr>
        <w:t>Data_PCI</w:t>
      </w:r>
      <w:r>
        <w:rPr>
          <w:rFonts w:cs="Arial"/>
        </w:rPr>
        <w:t>_26022025</w:t>
      </w:r>
      <w:r w:rsidRPr="0012454B">
        <w:rPr>
          <w:rFonts w:cs="Arial"/>
        </w:rPr>
        <w:t xml:space="preserve">”. Values for the Phytoplankton Colour Index </w:t>
      </w:r>
      <w:r>
        <w:rPr>
          <w:rFonts w:cs="Arial"/>
        </w:rPr>
        <w:t>(PCI)</w:t>
      </w:r>
    </w:p>
    <w:p w14:paraId="21A11D2D" w14:textId="2D8C278E" w:rsidR="00C87353" w:rsidRPr="003C7741" w:rsidRDefault="00C87353" w:rsidP="00C87353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Data_LargeZooplankton_</w:t>
      </w:r>
      <w:r>
        <w:rPr>
          <w:rFonts w:cs="Arial"/>
        </w:rPr>
        <w:t>26022025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17D72629" w14:textId="77777777" w:rsidR="00DB6C9B" w:rsidRDefault="00DB6C9B" w:rsidP="00C87353">
      <w:pPr>
        <w:pStyle w:val="ListParagraph"/>
        <w:rPr>
          <w:rFonts w:cs="Arial"/>
        </w:rPr>
      </w:pPr>
    </w:p>
    <w:p w14:paraId="3BC61935" w14:textId="77777777" w:rsidR="00585F26" w:rsidRPr="00585F26" w:rsidRDefault="00585F26" w:rsidP="00585F26">
      <w:pPr>
        <w:pStyle w:val="ListParagraph"/>
        <w:rPr>
          <w:rFonts w:cs="Arial"/>
        </w:rPr>
      </w:pPr>
    </w:p>
    <w:sectPr w:rsidR="00585F26" w:rsidRPr="00585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519AE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D7B40"/>
    <w:rsid w:val="000F5F5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3B3D"/>
    <w:rsid w:val="001B0988"/>
    <w:rsid w:val="001B29E9"/>
    <w:rsid w:val="001E7970"/>
    <w:rsid w:val="002444C7"/>
    <w:rsid w:val="00257BC8"/>
    <w:rsid w:val="00263083"/>
    <w:rsid w:val="002909B3"/>
    <w:rsid w:val="002E6F9A"/>
    <w:rsid w:val="0034452B"/>
    <w:rsid w:val="00355B82"/>
    <w:rsid w:val="0037395B"/>
    <w:rsid w:val="003871E6"/>
    <w:rsid w:val="003B648B"/>
    <w:rsid w:val="003D0AD6"/>
    <w:rsid w:val="003E6099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54CB4"/>
    <w:rsid w:val="00585F26"/>
    <w:rsid w:val="005A01C1"/>
    <w:rsid w:val="005C0DCB"/>
    <w:rsid w:val="005D7226"/>
    <w:rsid w:val="00600F3B"/>
    <w:rsid w:val="006248A6"/>
    <w:rsid w:val="006458E6"/>
    <w:rsid w:val="00660B0B"/>
    <w:rsid w:val="00666125"/>
    <w:rsid w:val="006768F0"/>
    <w:rsid w:val="00684F3C"/>
    <w:rsid w:val="006A3A10"/>
    <w:rsid w:val="006B0FBC"/>
    <w:rsid w:val="006D35D7"/>
    <w:rsid w:val="006D76BD"/>
    <w:rsid w:val="006E30B6"/>
    <w:rsid w:val="006F0B3C"/>
    <w:rsid w:val="007238E8"/>
    <w:rsid w:val="0073785C"/>
    <w:rsid w:val="007857E5"/>
    <w:rsid w:val="007A5B3C"/>
    <w:rsid w:val="007C5D77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AC35FB"/>
    <w:rsid w:val="00B135A2"/>
    <w:rsid w:val="00B206DC"/>
    <w:rsid w:val="00B543C1"/>
    <w:rsid w:val="00B72E22"/>
    <w:rsid w:val="00B90E39"/>
    <w:rsid w:val="00BA106F"/>
    <w:rsid w:val="00BA303A"/>
    <w:rsid w:val="00BA7FE2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87353"/>
    <w:rsid w:val="00C955C0"/>
    <w:rsid w:val="00CB1286"/>
    <w:rsid w:val="00CC4A6B"/>
    <w:rsid w:val="00CD2867"/>
    <w:rsid w:val="00CD7135"/>
    <w:rsid w:val="00CE7499"/>
    <w:rsid w:val="00CF5D92"/>
    <w:rsid w:val="00D1570B"/>
    <w:rsid w:val="00D459D1"/>
    <w:rsid w:val="00D74606"/>
    <w:rsid w:val="00DB6C9B"/>
    <w:rsid w:val="00DF75D2"/>
    <w:rsid w:val="00E27E81"/>
    <w:rsid w:val="00E55D40"/>
    <w:rsid w:val="00E60B11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66</cp:revision>
  <dcterms:created xsi:type="dcterms:W3CDTF">2024-07-04T07:13:00Z</dcterms:created>
  <dcterms:modified xsi:type="dcterms:W3CDTF">2025-02-26T14:02:00Z</dcterms:modified>
</cp:coreProperties>
</file>